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20,65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02 км"/>
              </w:smartTagPr>
              <w:r>
                <w:rPr>
                  <w:rFonts w:ascii="Times New Roman" w:hAnsi="Times New Roman" w:cs="Times New Roman"/>
                </w:rPr>
                <w:t>0,02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Красноармейская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 -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rFonts w:ascii="Times New Roman" w:hAnsi="Times New Roman" w:cs="Times New Roman"/>
                </w:rPr>
                <w:t>0,3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77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proofErr w:type="spellEnd"/>
            <w:r w:rsidRPr="00236057">
              <w:rPr>
                <w:rFonts w:ascii="Times New Roman" w:hAnsi="Times New Roman" w:cs="Times New Roman"/>
              </w:rPr>
              <w:t>@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proofErr w:type="spellEnd"/>
            <w:r w:rsidRPr="00236057">
              <w:rPr>
                <w:rFonts w:ascii="Times New Roman" w:hAnsi="Times New Roman" w:cs="Times New Roman"/>
              </w:rPr>
              <w:t>.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proofErr w:type="spellEnd"/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Pr="00E01417" w:rsidRDefault="0055493D" w:rsidP="002E59C5">
      <w:pPr>
        <w:pStyle w:val="a3"/>
        <w:ind w:left="0"/>
        <w:rPr>
          <w:rFonts w:ascii="Times New Roman" w:hAnsi="Times New Roman" w:cs="Times New Roman"/>
          <w:b/>
          <w:bCs/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45720</wp:posOffset>
            </wp:positionV>
            <wp:extent cx="1908810" cy="139446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863725" cy="13950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22860</wp:posOffset>
            </wp:positionV>
            <wp:extent cx="2030730" cy="139446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88">
        <w:t xml:space="preserve">    </w:t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BD3646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Брестская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20,47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</w:rPr>
                <w:t>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</w:rPr>
                <w:t>1,5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с ул. </w:t>
            </w:r>
            <w:proofErr w:type="spellStart"/>
            <w:r>
              <w:rPr>
                <w:rFonts w:ascii="Times New Roman" w:hAnsi="Times New Roman" w:cs="Times New Roman"/>
              </w:rPr>
              <w:t>Бресткой</w:t>
            </w:r>
            <w:proofErr w:type="spellEnd"/>
            <w:r>
              <w:rPr>
                <w:rFonts w:ascii="Times New Roman" w:hAnsi="Times New Roman" w:cs="Times New Roman"/>
              </w:rPr>
              <w:t>, А. Мицкевича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t>ekon@slonim.grodno-region.by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22860</wp:posOffset>
            </wp:positionV>
            <wp:extent cx="1908810" cy="13335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22860</wp:posOffset>
            </wp:positionV>
            <wp:extent cx="2030730" cy="13335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22860</wp:posOffset>
            </wp:positionV>
            <wp:extent cx="1863090" cy="1333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Коссовский тракт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24,55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rFonts w:ascii="Times New Roman" w:hAnsi="Times New Roman" w:cs="Times New Roman"/>
                </w:rPr>
                <w:t>3,0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Коссовский тракт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r w:rsidRPr="00236057">
              <w:rPr>
                <w:rFonts w:ascii="Times New Roman" w:hAnsi="Times New Roman" w:cs="Times New Roman"/>
              </w:rPr>
              <w:t>@</w:t>
            </w:r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22860</wp:posOffset>
            </wp:positionV>
            <wp:extent cx="1973580" cy="1333500"/>
            <wp:effectExtent l="0" t="0" r="0" b="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7620</wp:posOffset>
            </wp:positionV>
            <wp:extent cx="1985010" cy="1348740"/>
            <wp:effectExtent l="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7620</wp:posOffset>
            </wp:positionV>
            <wp:extent cx="1908810" cy="13487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97" w:rsidRPr="007453E8" w:rsidRDefault="0068535E" w:rsidP="001A6566">
      <w:pPr>
        <w:pStyle w:val="a3"/>
        <w:spacing w:after="120"/>
        <w:ind w:left="7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bookmarkStart w:id="0" w:name="_GoBack"/>
      <w:bookmarkEnd w:id="0"/>
    </w:p>
    <w:sectPr w:rsidR="00C51D97" w:rsidRPr="007453E8" w:rsidSect="007568B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5"/>
    <w:rsid w:val="0000516B"/>
    <w:rsid w:val="0003043F"/>
    <w:rsid w:val="000B0E6C"/>
    <w:rsid w:val="000C04A7"/>
    <w:rsid w:val="00184BCE"/>
    <w:rsid w:val="001A6566"/>
    <w:rsid w:val="00216A06"/>
    <w:rsid w:val="00236057"/>
    <w:rsid w:val="00245237"/>
    <w:rsid w:val="00270DF3"/>
    <w:rsid w:val="002A30A6"/>
    <w:rsid w:val="002B1BB7"/>
    <w:rsid w:val="002E3288"/>
    <w:rsid w:val="002E59C5"/>
    <w:rsid w:val="002F539D"/>
    <w:rsid w:val="00386932"/>
    <w:rsid w:val="003A438E"/>
    <w:rsid w:val="00550B4B"/>
    <w:rsid w:val="0055493D"/>
    <w:rsid w:val="005D496E"/>
    <w:rsid w:val="005E5C93"/>
    <w:rsid w:val="00641378"/>
    <w:rsid w:val="00674930"/>
    <w:rsid w:val="0068535E"/>
    <w:rsid w:val="006C758C"/>
    <w:rsid w:val="007453E8"/>
    <w:rsid w:val="007568B2"/>
    <w:rsid w:val="00770AF3"/>
    <w:rsid w:val="0084339F"/>
    <w:rsid w:val="009B53B0"/>
    <w:rsid w:val="00AE348A"/>
    <w:rsid w:val="00B72FEB"/>
    <w:rsid w:val="00BA6CA6"/>
    <w:rsid w:val="00BD3388"/>
    <w:rsid w:val="00BD3646"/>
    <w:rsid w:val="00C51D97"/>
    <w:rsid w:val="00C77E99"/>
    <w:rsid w:val="00CC2290"/>
    <w:rsid w:val="00D5406F"/>
    <w:rsid w:val="00E01417"/>
    <w:rsid w:val="00E146BA"/>
    <w:rsid w:val="00E8719A"/>
    <w:rsid w:val="00F5258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644DE"/>
  <w15:docId w15:val="{4CF5F863-45D1-4F17-902E-AE4AE3B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9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59C5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59C5"/>
    <w:pPr>
      <w:ind w:left="720"/>
    </w:pPr>
    <w:rPr>
      <w:rFonts w:ascii="Cambria" w:eastAsia="MS Mincho" w:hAnsi="Cambria" w:cs="Cambria"/>
      <w:lang w:eastAsia="en-US"/>
    </w:rPr>
  </w:style>
  <w:style w:type="paragraph" w:styleId="a4">
    <w:name w:val="Balloon Text"/>
    <w:basedOn w:val="a"/>
    <w:link w:val="a5"/>
    <w:uiPriority w:val="99"/>
    <w:semiHidden/>
    <w:rsid w:val="002E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9C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59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59C5"/>
    <w:rPr>
      <w:rFonts w:cs="Times New Roman"/>
    </w:rPr>
  </w:style>
  <w:style w:type="paragraph" w:styleId="a7">
    <w:name w:val="Normal (Web)"/>
    <w:basedOn w:val="a"/>
    <w:uiPriority w:val="99"/>
    <w:rsid w:val="002E59C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User624.2</dc:creator>
  <cp:keywords/>
  <dc:description/>
  <cp:lastModifiedBy>User322.2</cp:lastModifiedBy>
  <cp:revision>2</cp:revision>
  <cp:lastPrinted>2017-12-21T15:25:00Z</cp:lastPrinted>
  <dcterms:created xsi:type="dcterms:W3CDTF">2018-04-14T06:05:00Z</dcterms:created>
  <dcterms:modified xsi:type="dcterms:W3CDTF">2018-04-14T06:05:00Z</dcterms:modified>
</cp:coreProperties>
</file>